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CD9B1A" w14:textId="77777777" w:rsidR="006E402A" w:rsidRDefault="006E402A" w:rsidP="006E402A">
      <w:r>
        <w:t>Appendix 1</w:t>
      </w:r>
    </w:p>
    <w:p w14:paraId="15C40825" w14:textId="77777777" w:rsidR="006E402A" w:rsidRDefault="006E402A" w:rsidP="006E402A">
      <w:r>
        <w:t>Portfolio Elements</w:t>
      </w:r>
    </w:p>
    <w:p w14:paraId="31FE64C7" w14:textId="77777777" w:rsidR="00082874" w:rsidRDefault="00082874" w:rsidP="006E402A"/>
    <w:p w14:paraId="1C7922CC" w14:textId="77777777" w:rsidR="006E402A" w:rsidRPr="006F528F" w:rsidRDefault="006E402A" w:rsidP="006E402A">
      <w:pPr>
        <w:rPr>
          <w:i/>
        </w:rPr>
      </w:pPr>
      <w:r>
        <w:t xml:space="preserve">Table 1. </w:t>
      </w:r>
      <w:r w:rsidRPr="006F528F">
        <w:rPr>
          <w:i/>
        </w:rPr>
        <w:t>Grants</w:t>
      </w:r>
    </w:p>
    <w:tbl>
      <w:tblPr>
        <w:tblStyle w:val="TableGrid"/>
        <w:tblW w:w="14175" w:type="dxa"/>
        <w:tblInd w:w="108" w:type="dxa"/>
        <w:tblLayout w:type="fixed"/>
        <w:tblLook w:val="04A0" w:firstRow="1" w:lastRow="0" w:firstColumn="1" w:lastColumn="0" w:noHBand="0" w:noVBand="1"/>
      </w:tblPr>
      <w:tblGrid>
        <w:gridCol w:w="1843"/>
        <w:gridCol w:w="992"/>
        <w:gridCol w:w="993"/>
        <w:gridCol w:w="992"/>
        <w:gridCol w:w="1134"/>
        <w:gridCol w:w="1559"/>
        <w:gridCol w:w="992"/>
        <w:gridCol w:w="5670"/>
      </w:tblGrid>
      <w:tr w:rsidR="006E402A" w14:paraId="0388F45B" w14:textId="77777777" w:rsidTr="006E402A">
        <w:tc>
          <w:tcPr>
            <w:tcW w:w="1843" w:type="dxa"/>
          </w:tcPr>
          <w:p w14:paraId="6E38BE27" w14:textId="77777777" w:rsidR="006E402A" w:rsidRDefault="006E402A" w:rsidP="006E402A">
            <w:r>
              <w:t>Institution</w:t>
            </w:r>
          </w:p>
        </w:tc>
        <w:tc>
          <w:tcPr>
            <w:tcW w:w="992" w:type="dxa"/>
          </w:tcPr>
          <w:p w14:paraId="11E3DA67" w14:textId="77777777" w:rsidR="006E402A" w:rsidRDefault="006E402A" w:rsidP="006E402A">
            <w:r>
              <w:t>Start of funding</w:t>
            </w:r>
          </w:p>
        </w:tc>
        <w:tc>
          <w:tcPr>
            <w:tcW w:w="993" w:type="dxa"/>
          </w:tcPr>
          <w:p w14:paraId="6D3E5B2F" w14:textId="77777777" w:rsidR="006E402A" w:rsidRDefault="006E402A" w:rsidP="006E402A">
            <w:r>
              <w:t>End</w:t>
            </w:r>
          </w:p>
        </w:tc>
        <w:tc>
          <w:tcPr>
            <w:tcW w:w="992" w:type="dxa"/>
          </w:tcPr>
          <w:p w14:paraId="0C3D1C01" w14:textId="77777777" w:rsidR="006E402A" w:rsidRDefault="006E402A" w:rsidP="006E402A">
            <w:r>
              <w:t>Total OSF</w:t>
            </w:r>
          </w:p>
          <w:p w14:paraId="1F6804A4" w14:textId="77777777" w:rsidR="006E402A" w:rsidRDefault="006E402A" w:rsidP="006E402A">
            <w:r>
              <w:t>Funding</w:t>
            </w:r>
          </w:p>
          <w:p w14:paraId="7486DCD8" w14:textId="77777777" w:rsidR="006E402A" w:rsidRDefault="006E402A" w:rsidP="006E402A">
            <w:r>
              <w:t>M$</w:t>
            </w:r>
          </w:p>
        </w:tc>
        <w:tc>
          <w:tcPr>
            <w:tcW w:w="1134" w:type="dxa"/>
          </w:tcPr>
          <w:p w14:paraId="74D33F6E" w14:textId="77777777" w:rsidR="006E402A" w:rsidRDefault="006E402A" w:rsidP="006E402A">
            <w:r>
              <w:t>Post 2005</w:t>
            </w:r>
          </w:p>
          <w:p w14:paraId="67354DA1" w14:textId="77777777" w:rsidR="006E402A" w:rsidRDefault="006E402A" w:rsidP="006E402A">
            <w:r>
              <w:t>OSF</w:t>
            </w:r>
          </w:p>
          <w:p w14:paraId="02EFFE45" w14:textId="77777777" w:rsidR="006E402A" w:rsidRDefault="006E402A" w:rsidP="006E402A">
            <w:r>
              <w:t>Funding</w:t>
            </w:r>
          </w:p>
          <w:p w14:paraId="4BFA5C4E" w14:textId="77777777" w:rsidR="006E402A" w:rsidRDefault="006E402A" w:rsidP="006E402A">
            <w:r>
              <w:t>M$</w:t>
            </w:r>
          </w:p>
        </w:tc>
        <w:tc>
          <w:tcPr>
            <w:tcW w:w="1559" w:type="dxa"/>
          </w:tcPr>
          <w:p w14:paraId="5EB401DD" w14:textId="77777777" w:rsidR="006E402A" w:rsidRDefault="006E402A" w:rsidP="006E402A">
            <w:pPr>
              <w:rPr>
                <w:rFonts w:asciiTheme="majorHAnsi" w:hAnsiTheme="majorHAnsi"/>
              </w:rPr>
            </w:pPr>
            <w:r>
              <w:rPr>
                <w:rFonts w:asciiTheme="majorHAnsi" w:hAnsiTheme="majorHAnsi"/>
              </w:rPr>
              <w:t xml:space="preserve">Endowment &amp; infrastructure </w:t>
            </w:r>
          </w:p>
          <w:p w14:paraId="3AB870D9" w14:textId="77777777" w:rsidR="006E402A" w:rsidRPr="00EE3DF1" w:rsidRDefault="006E402A" w:rsidP="006E402A">
            <w:pPr>
              <w:rPr>
                <w:rFonts w:asciiTheme="majorHAnsi" w:hAnsiTheme="majorHAnsi"/>
              </w:rPr>
            </w:pPr>
            <w:r>
              <w:rPr>
                <w:rFonts w:asciiTheme="majorHAnsi" w:hAnsiTheme="majorHAnsi"/>
              </w:rPr>
              <w:t>M$</w:t>
            </w:r>
          </w:p>
        </w:tc>
        <w:tc>
          <w:tcPr>
            <w:tcW w:w="992" w:type="dxa"/>
          </w:tcPr>
          <w:p w14:paraId="50CE0E72" w14:textId="77777777" w:rsidR="006E402A" w:rsidRDefault="006E402A" w:rsidP="006E402A">
            <w:pPr>
              <w:rPr>
                <w:rFonts w:asciiTheme="majorHAnsi" w:eastAsia="MS Gothic" w:hAnsiTheme="majorHAnsi"/>
                <w:color w:val="000000"/>
              </w:rPr>
            </w:pPr>
            <w:r w:rsidRPr="00EE3DF1">
              <w:rPr>
                <w:rFonts w:asciiTheme="majorHAnsi" w:eastAsia="MS Gothic" w:hAnsiTheme="majorHAnsi"/>
                <w:color w:val="000000"/>
              </w:rPr>
              <w:sym w:font="Symbol" w:char="F023"/>
            </w:r>
            <w:r w:rsidRPr="00EE3DF1">
              <w:rPr>
                <w:rFonts w:asciiTheme="majorHAnsi" w:eastAsia="MS Gothic" w:hAnsiTheme="majorHAnsi"/>
                <w:color w:val="000000"/>
              </w:rPr>
              <w:t xml:space="preserve"> of </w:t>
            </w:r>
            <w:r>
              <w:rPr>
                <w:rFonts w:asciiTheme="majorHAnsi" w:eastAsia="MS Gothic" w:hAnsiTheme="majorHAnsi"/>
                <w:color w:val="000000"/>
              </w:rPr>
              <w:t>post 2005</w:t>
            </w:r>
          </w:p>
          <w:p w14:paraId="0C0D0E8C" w14:textId="77777777" w:rsidR="006E402A" w:rsidRDefault="006E402A" w:rsidP="006E402A">
            <w:r w:rsidRPr="00EE3DF1">
              <w:rPr>
                <w:rFonts w:asciiTheme="majorHAnsi" w:eastAsia="MS Gothic" w:hAnsiTheme="majorHAnsi"/>
                <w:color w:val="000000"/>
              </w:rPr>
              <w:t>grants</w:t>
            </w:r>
          </w:p>
        </w:tc>
        <w:tc>
          <w:tcPr>
            <w:tcW w:w="5670" w:type="dxa"/>
          </w:tcPr>
          <w:p w14:paraId="6BF3D03F" w14:textId="77777777" w:rsidR="006E402A" w:rsidRPr="00C70A54" w:rsidRDefault="006E402A" w:rsidP="006E402A">
            <w:pPr>
              <w:tabs>
                <w:tab w:val="left" w:pos="6026"/>
              </w:tabs>
            </w:pPr>
            <w:r w:rsidRPr="00C70A54">
              <w:t>Comments / Link</w:t>
            </w:r>
            <w:r>
              <w:t>s</w:t>
            </w:r>
            <w:r w:rsidRPr="00C70A54">
              <w:t xml:space="preserve"> to FC grants</w:t>
            </w:r>
            <w:r>
              <w:tab/>
            </w:r>
          </w:p>
        </w:tc>
      </w:tr>
      <w:tr w:rsidR="006E402A" w14:paraId="6C9A878E" w14:textId="77777777" w:rsidTr="006E402A">
        <w:tc>
          <w:tcPr>
            <w:tcW w:w="1843" w:type="dxa"/>
          </w:tcPr>
          <w:p w14:paraId="3812F717" w14:textId="77777777" w:rsidR="006E402A" w:rsidRDefault="006E402A" w:rsidP="006E402A">
            <w:r>
              <w:t>American University of Central Asia</w:t>
            </w:r>
          </w:p>
        </w:tc>
        <w:tc>
          <w:tcPr>
            <w:tcW w:w="992" w:type="dxa"/>
          </w:tcPr>
          <w:p w14:paraId="4A9DF164" w14:textId="77777777" w:rsidR="006E402A" w:rsidRDefault="006E402A" w:rsidP="006E402A">
            <w:r>
              <w:t>1997</w:t>
            </w:r>
          </w:p>
        </w:tc>
        <w:tc>
          <w:tcPr>
            <w:tcW w:w="993" w:type="dxa"/>
          </w:tcPr>
          <w:p w14:paraId="28426079" w14:textId="77777777" w:rsidR="006E402A" w:rsidRDefault="006E402A" w:rsidP="006E402A">
            <w:r>
              <w:t>On going</w:t>
            </w:r>
          </w:p>
        </w:tc>
        <w:tc>
          <w:tcPr>
            <w:tcW w:w="992" w:type="dxa"/>
          </w:tcPr>
          <w:p w14:paraId="157BBEF4" w14:textId="797DC451" w:rsidR="006E402A" w:rsidRDefault="005A55A8" w:rsidP="006E402A">
            <w:r>
              <w:t>40.418</w:t>
            </w:r>
          </w:p>
        </w:tc>
        <w:tc>
          <w:tcPr>
            <w:tcW w:w="1134" w:type="dxa"/>
          </w:tcPr>
          <w:p w14:paraId="47594492" w14:textId="288778DE" w:rsidR="006E402A" w:rsidRDefault="005A55A8" w:rsidP="006E402A">
            <w:r>
              <w:t>35.280</w:t>
            </w:r>
            <w:r w:rsidR="006E402A">
              <w:t xml:space="preserve"> </w:t>
            </w:r>
          </w:p>
        </w:tc>
        <w:tc>
          <w:tcPr>
            <w:tcW w:w="1559" w:type="dxa"/>
          </w:tcPr>
          <w:p w14:paraId="46A87C24" w14:textId="77777777" w:rsidR="006E402A" w:rsidRDefault="006E402A" w:rsidP="006E402A">
            <w:r>
              <w:t>28.30</w:t>
            </w:r>
          </w:p>
          <w:p w14:paraId="48AF4885" w14:textId="77777777" w:rsidR="006E402A" w:rsidRDefault="006E402A" w:rsidP="006E402A"/>
        </w:tc>
        <w:tc>
          <w:tcPr>
            <w:tcW w:w="992" w:type="dxa"/>
          </w:tcPr>
          <w:p w14:paraId="077DEF2F" w14:textId="77777777" w:rsidR="006E402A" w:rsidRDefault="006E402A" w:rsidP="006E402A">
            <w:r>
              <w:t>45</w:t>
            </w:r>
          </w:p>
        </w:tc>
        <w:tc>
          <w:tcPr>
            <w:tcW w:w="5670" w:type="dxa"/>
          </w:tcPr>
          <w:p w14:paraId="054DA1E3" w14:textId="77777777" w:rsidR="006E402A" w:rsidRPr="00C70A54" w:rsidRDefault="006E402A" w:rsidP="006E402A">
            <w:pPr>
              <w:tabs>
                <w:tab w:val="left" w:pos="6554"/>
              </w:tabs>
              <w:spacing w:line="240" w:lineRule="exact"/>
            </w:pPr>
            <w:r w:rsidRPr="00C70A54">
              <w:t xml:space="preserve">After OSF made a $ 5 million contribution to the AUCA endowment fund (maintained by the Indiana University) a decision was made to limit our funding to scholarship funding initially at the level of $ 575,000 yearly, later reduced to $350,000. In 2010 additional $ 1m grant was allocated to fund AUCA partnership with Bard College. In 2013 these lines where included in the Bard Omnibus Grant, together with President </w:t>
            </w:r>
            <w:proofErr w:type="spellStart"/>
            <w:r w:rsidRPr="00C70A54">
              <w:t>Wachtel’s</w:t>
            </w:r>
            <w:proofErr w:type="spellEnd"/>
            <w:r w:rsidRPr="00C70A54">
              <w:t xml:space="preserve"> compensation.</w:t>
            </w:r>
          </w:p>
          <w:p w14:paraId="0E4843B4" w14:textId="77777777" w:rsidR="006E402A" w:rsidRPr="00C70A54" w:rsidRDefault="006E402A" w:rsidP="006E402A">
            <w:pPr>
              <w:tabs>
                <w:tab w:val="left" w:pos="6554"/>
              </w:tabs>
              <w:spacing w:line="240" w:lineRule="exact"/>
            </w:pPr>
            <w:r w:rsidRPr="00C70A54">
              <w:t>Through separate grants OSF is also funding the construction of the new AUCA campus.</w:t>
            </w:r>
          </w:p>
          <w:p w14:paraId="055A19C0" w14:textId="77777777" w:rsidR="006E402A" w:rsidRPr="00C70A54" w:rsidRDefault="00B07A69" w:rsidP="006E402A">
            <w:pPr>
              <w:tabs>
                <w:tab w:val="left" w:pos="6554"/>
              </w:tabs>
              <w:spacing w:line="240" w:lineRule="exact"/>
            </w:pPr>
            <w:hyperlink r:id="rId7" w:history="1">
              <w:r w:rsidR="006E402A" w:rsidRPr="00C70A54">
                <w:rPr>
                  <w:rStyle w:val="Hyperlink"/>
                </w:rPr>
                <w:t>https://myapplications.my.salesforce.com/00Od0000004Jd93</w:t>
              </w:r>
            </w:hyperlink>
          </w:p>
        </w:tc>
      </w:tr>
      <w:tr w:rsidR="006E402A" w14:paraId="4AEBBF58" w14:textId="77777777" w:rsidTr="006E402A">
        <w:tc>
          <w:tcPr>
            <w:tcW w:w="1843" w:type="dxa"/>
          </w:tcPr>
          <w:p w14:paraId="7F4F4440" w14:textId="77777777" w:rsidR="006E402A" w:rsidRDefault="006E402A" w:rsidP="006E402A">
            <w:r>
              <w:t>American University in Bulgaria</w:t>
            </w:r>
          </w:p>
        </w:tc>
        <w:tc>
          <w:tcPr>
            <w:tcW w:w="992" w:type="dxa"/>
          </w:tcPr>
          <w:p w14:paraId="1EFA3A39" w14:textId="77777777" w:rsidR="006E402A" w:rsidRDefault="006E402A" w:rsidP="006E402A">
            <w:r>
              <w:t>1992</w:t>
            </w:r>
          </w:p>
        </w:tc>
        <w:tc>
          <w:tcPr>
            <w:tcW w:w="993" w:type="dxa"/>
          </w:tcPr>
          <w:p w14:paraId="009850A3" w14:textId="77777777" w:rsidR="006E402A" w:rsidRDefault="006E402A" w:rsidP="006E402A">
            <w:r>
              <w:t>2018</w:t>
            </w:r>
          </w:p>
        </w:tc>
        <w:tc>
          <w:tcPr>
            <w:tcW w:w="992" w:type="dxa"/>
          </w:tcPr>
          <w:p w14:paraId="6E5A2BF8" w14:textId="77777777" w:rsidR="006E402A" w:rsidRDefault="006E402A" w:rsidP="006E402A">
            <w:r>
              <w:t>32.406</w:t>
            </w:r>
          </w:p>
        </w:tc>
        <w:tc>
          <w:tcPr>
            <w:tcW w:w="1134" w:type="dxa"/>
          </w:tcPr>
          <w:p w14:paraId="1455B020" w14:textId="77777777" w:rsidR="006E402A" w:rsidRDefault="006E402A" w:rsidP="006E402A">
            <w:r>
              <w:t>13.990</w:t>
            </w:r>
          </w:p>
        </w:tc>
        <w:tc>
          <w:tcPr>
            <w:tcW w:w="1559" w:type="dxa"/>
          </w:tcPr>
          <w:p w14:paraId="36527159" w14:textId="77777777" w:rsidR="006E402A" w:rsidRDefault="006E402A" w:rsidP="006E402A">
            <w:r>
              <w:t>--</w:t>
            </w:r>
          </w:p>
        </w:tc>
        <w:tc>
          <w:tcPr>
            <w:tcW w:w="992" w:type="dxa"/>
          </w:tcPr>
          <w:p w14:paraId="13D3463E" w14:textId="77777777" w:rsidR="006E402A" w:rsidRDefault="006E402A" w:rsidP="006E402A">
            <w:r>
              <w:t>13</w:t>
            </w:r>
          </w:p>
        </w:tc>
        <w:tc>
          <w:tcPr>
            <w:tcW w:w="5670" w:type="dxa"/>
          </w:tcPr>
          <w:p w14:paraId="2B3A6302" w14:textId="77777777" w:rsidR="006E402A" w:rsidRPr="00C70A54" w:rsidRDefault="006E402A" w:rsidP="006E402A">
            <w:pPr>
              <w:tabs>
                <w:tab w:val="left" w:pos="6554"/>
              </w:tabs>
              <w:spacing w:line="240" w:lineRule="exact"/>
            </w:pPr>
            <w:r w:rsidRPr="00C70A54">
              <w:t>In the early years OSF supported AUBG for institutional development and scholarships. Since 2001 our funding has been solely for the purposes of scholarships for students from CEE-</w:t>
            </w:r>
            <w:proofErr w:type="spellStart"/>
            <w:r w:rsidRPr="00C70A54">
              <w:t>fSU</w:t>
            </w:r>
            <w:proofErr w:type="spellEnd"/>
            <w:r w:rsidRPr="00C70A54">
              <w:t xml:space="preserve"> countries. </w:t>
            </w:r>
          </w:p>
          <w:p w14:paraId="79F51D30" w14:textId="77777777" w:rsidR="006E402A" w:rsidRPr="00C70A54" w:rsidRDefault="006E402A" w:rsidP="006E402A">
            <w:pPr>
              <w:tabs>
                <w:tab w:val="left" w:pos="6554"/>
              </w:tabs>
              <w:spacing w:line="240" w:lineRule="exact"/>
            </w:pPr>
            <w:r w:rsidRPr="00C70A54">
              <w:t>As related to the situation in Turkmenistan, in 2008 additional funding was allocated to accommodate a cohort of 5 Turkmen students.</w:t>
            </w:r>
          </w:p>
          <w:p w14:paraId="4B6DB5FE" w14:textId="77777777" w:rsidR="006E402A" w:rsidRPr="00C70A54" w:rsidRDefault="00B07A69" w:rsidP="006E402A">
            <w:pPr>
              <w:tabs>
                <w:tab w:val="left" w:pos="6554"/>
              </w:tabs>
              <w:spacing w:line="240" w:lineRule="exact"/>
            </w:pPr>
            <w:hyperlink r:id="rId8" w:history="1">
              <w:r w:rsidR="006E402A" w:rsidRPr="00C70A54">
                <w:rPr>
                  <w:rStyle w:val="Hyperlink"/>
                </w:rPr>
                <w:t>https://myapplications.my.salesforce.com/00Od0000004Jf2T</w:t>
              </w:r>
            </w:hyperlink>
          </w:p>
        </w:tc>
      </w:tr>
      <w:tr w:rsidR="006E402A" w14:paraId="10652935" w14:textId="77777777" w:rsidTr="006E402A">
        <w:tc>
          <w:tcPr>
            <w:tcW w:w="1843" w:type="dxa"/>
          </w:tcPr>
          <w:p w14:paraId="5118664A" w14:textId="77777777" w:rsidR="006E402A" w:rsidRDefault="006E402A" w:rsidP="006E402A">
            <w:r>
              <w:t>European University at St Petersburg</w:t>
            </w:r>
          </w:p>
        </w:tc>
        <w:tc>
          <w:tcPr>
            <w:tcW w:w="992" w:type="dxa"/>
          </w:tcPr>
          <w:p w14:paraId="3018FE20" w14:textId="77777777" w:rsidR="006E402A" w:rsidRDefault="006E402A" w:rsidP="006E402A">
            <w:r>
              <w:t>1995</w:t>
            </w:r>
          </w:p>
        </w:tc>
        <w:tc>
          <w:tcPr>
            <w:tcW w:w="993" w:type="dxa"/>
          </w:tcPr>
          <w:p w14:paraId="49D9D1EA" w14:textId="77777777" w:rsidR="006E402A" w:rsidRDefault="006E402A" w:rsidP="006E402A">
            <w:r>
              <w:t>2014</w:t>
            </w:r>
          </w:p>
        </w:tc>
        <w:tc>
          <w:tcPr>
            <w:tcW w:w="992" w:type="dxa"/>
          </w:tcPr>
          <w:p w14:paraId="4456D201" w14:textId="77777777" w:rsidR="006E402A" w:rsidRDefault="006E402A" w:rsidP="006E402A">
            <w:r>
              <w:t>22.259</w:t>
            </w:r>
          </w:p>
        </w:tc>
        <w:tc>
          <w:tcPr>
            <w:tcW w:w="1134" w:type="dxa"/>
          </w:tcPr>
          <w:p w14:paraId="51C33B97" w14:textId="77777777" w:rsidR="006E402A" w:rsidRDefault="006E402A" w:rsidP="006E402A">
            <w:r>
              <w:t>20.379</w:t>
            </w:r>
          </w:p>
        </w:tc>
        <w:tc>
          <w:tcPr>
            <w:tcW w:w="1559" w:type="dxa"/>
          </w:tcPr>
          <w:p w14:paraId="49D1F7C8" w14:textId="77777777" w:rsidR="006E402A" w:rsidRDefault="006E402A" w:rsidP="006E402A">
            <w:r>
              <w:t xml:space="preserve">15.00 </w:t>
            </w:r>
          </w:p>
        </w:tc>
        <w:tc>
          <w:tcPr>
            <w:tcW w:w="992" w:type="dxa"/>
          </w:tcPr>
          <w:p w14:paraId="171B8B07" w14:textId="31BE206A" w:rsidR="006E402A" w:rsidRDefault="005A55A8" w:rsidP="006E402A">
            <w:r>
              <w:t>13</w:t>
            </w:r>
          </w:p>
        </w:tc>
        <w:tc>
          <w:tcPr>
            <w:tcW w:w="5670" w:type="dxa"/>
          </w:tcPr>
          <w:p w14:paraId="16B13714" w14:textId="77777777" w:rsidR="006E402A" w:rsidRPr="00C70A54" w:rsidRDefault="006E402A" w:rsidP="006E402A">
            <w:pPr>
              <w:tabs>
                <w:tab w:val="left" w:pos="6554"/>
              </w:tabs>
              <w:spacing w:line="240" w:lineRule="exact"/>
            </w:pPr>
            <w:r w:rsidRPr="00C70A54">
              <w:t>Similar to several other institutions, the pattern of early grants to EUSP including in addition to regular institutional/scholarship funding emergency, cushion and other small grants suggesting fragility of the grantee on the one hand, and the lack of a strategy and coherent decision making on the other.  Since 2005 the funding pattern appears fairly regular, with annual HESP grants being divided into the institutional and scholarship components.</w:t>
            </w:r>
          </w:p>
          <w:p w14:paraId="279AC233" w14:textId="77777777" w:rsidR="006E402A" w:rsidRPr="00C70A54" w:rsidRDefault="006E402A" w:rsidP="006E402A">
            <w:pPr>
              <w:tabs>
                <w:tab w:val="left" w:pos="6554"/>
              </w:tabs>
              <w:spacing w:line="240" w:lineRule="exact"/>
            </w:pPr>
            <w:r w:rsidRPr="00C70A54">
              <w:t>The current political situation in Russia does not allow EUSP accepting further OSF funding.</w:t>
            </w:r>
          </w:p>
          <w:p w14:paraId="7718E063" w14:textId="77777777" w:rsidR="006E402A" w:rsidRPr="00C70A54" w:rsidRDefault="00B07A69" w:rsidP="006E402A">
            <w:pPr>
              <w:tabs>
                <w:tab w:val="left" w:pos="6554"/>
              </w:tabs>
              <w:spacing w:line="240" w:lineRule="exact"/>
            </w:pPr>
            <w:hyperlink r:id="rId9" w:history="1">
              <w:r w:rsidR="006E402A" w:rsidRPr="00C70A54">
                <w:rPr>
                  <w:rStyle w:val="Hyperlink"/>
                </w:rPr>
                <w:t>https://myapplications.my.salesforce.com/00Od0000004Jf2n</w:t>
              </w:r>
            </w:hyperlink>
          </w:p>
        </w:tc>
      </w:tr>
      <w:tr w:rsidR="003C309B" w14:paraId="4B04186F" w14:textId="77777777" w:rsidTr="006E402A">
        <w:tc>
          <w:tcPr>
            <w:tcW w:w="1843" w:type="dxa"/>
          </w:tcPr>
          <w:p w14:paraId="4D53743F" w14:textId="67CC5C96" w:rsidR="003C309B" w:rsidRDefault="003C309B" w:rsidP="006E402A">
            <w:r>
              <w:t xml:space="preserve">Faculty of Liberal </w:t>
            </w:r>
            <w:r>
              <w:lastRenderedPageBreak/>
              <w:t>Arts and Sciences, St. Petersburg SU (</w:t>
            </w:r>
            <w:proofErr w:type="spellStart"/>
            <w:r>
              <w:t>Smolny</w:t>
            </w:r>
            <w:proofErr w:type="spellEnd"/>
            <w:r>
              <w:t>)</w:t>
            </w:r>
          </w:p>
        </w:tc>
        <w:tc>
          <w:tcPr>
            <w:tcW w:w="992" w:type="dxa"/>
          </w:tcPr>
          <w:p w14:paraId="159F6164" w14:textId="2608E340" w:rsidR="003C309B" w:rsidRDefault="003C309B" w:rsidP="006E402A">
            <w:r>
              <w:lastRenderedPageBreak/>
              <w:t>1998</w:t>
            </w:r>
          </w:p>
        </w:tc>
        <w:tc>
          <w:tcPr>
            <w:tcW w:w="993" w:type="dxa"/>
          </w:tcPr>
          <w:p w14:paraId="1E67FE44" w14:textId="3E02D249" w:rsidR="003C309B" w:rsidRDefault="003C309B" w:rsidP="006E402A">
            <w:r>
              <w:t>On going</w:t>
            </w:r>
          </w:p>
        </w:tc>
        <w:tc>
          <w:tcPr>
            <w:tcW w:w="992" w:type="dxa"/>
          </w:tcPr>
          <w:p w14:paraId="16922E61" w14:textId="0D4A11AA" w:rsidR="003C309B" w:rsidRDefault="003C309B" w:rsidP="006E402A">
            <w:r>
              <w:t>16.622</w:t>
            </w:r>
          </w:p>
        </w:tc>
        <w:tc>
          <w:tcPr>
            <w:tcW w:w="1134" w:type="dxa"/>
          </w:tcPr>
          <w:p w14:paraId="0109F125" w14:textId="6D9463BF" w:rsidR="003C309B" w:rsidRDefault="003C309B" w:rsidP="006E402A">
            <w:r>
              <w:t>`15.327</w:t>
            </w:r>
          </w:p>
        </w:tc>
        <w:tc>
          <w:tcPr>
            <w:tcW w:w="1559" w:type="dxa"/>
          </w:tcPr>
          <w:p w14:paraId="7574CADD" w14:textId="70C3910B" w:rsidR="003C309B" w:rsidRDefault="003C309B" w:rsidP="006E402A">
            <w:r>
              <w:t xml:space="preserve">6.40 </w:t>
            </w:r>
          </w:p>
        </w:tc>
        <w:tc>
          <w:tcPr>
            <w:tcW w:w="992" w:type="dxa"/>
          </w:tcPr>
          <w:p w14:paraId="1C9789DB" w14:textId="19A03A2D" w:rsidR="003C309B" w:rsidRDefault="003C309B" w:rsidP="006E402A">
            <w:r>
              <w:t>10</w:t>
            </w:r>
          </w:p>
        </w:tc>
        <w:tc>
          <w:tcPr>
            <w:tcW w:w="5670" w:type="dxa"/>
          </w:tcPr>
          <w:p w14:paraId="32E48878" w14:textId="77777777" w:rsidR="003C309B" w:rsidRPr="00C70A54" w:rsidRDefault="003C309B" w:rsidP="00BC0AD4">
            <w:pPr>
              <w:tabs>
                <w:tab w:val="left" w:pos="6554"/>
              </w:tabs>
              <w:spacing w:line="240" w:lineRule="exact"/>
            </w:pPr>
            <w:r w:rsidRPr="00C70A54">
              <w:t xml:space="preserve">In addition to $ 5m to the endowment fund and $ 1.4m towards </w:t>
            </w:r>
            <w:r w:rsidRPr="00C70A54">
              <w:lastRenderedPageBreak/>
              <w:t xml:space="preserve">the renovation of </w:t>
            </w:r>
            <w:proofErr w:type="spellStart"/>
            <w:r w:rsidRPr="00C70A54">
              <w:t>Smolny’s</w:t>
            </w:r>
            <w:proofErr w:type="spellEnd"/>
            <w:r w:rsidRPr="00C70A54">
              <w:t xml:space="preserve"> building, HESP has provided </w:t>
            </w:r>
            <w:proofErr w:type="spellStart"/>
            <w:r w:rsidRPr="00C70A54">
              <w:t>Smolny</w:t>
            </w:r>
            <w:proofErr w:type="spellEnd"/>
            <w:r w:rsidRPr="00C70A54">
              <w:t xml:space="preserve"> with scholarship funding at the level of $ 200k per annum. After the payment to the endowment fund was made in 2010, the annual grants were discontinued. Currently </w:t>
            </w:r>
            <w:proofErr w:type="spellStart"/>
            <w:r w:rsidRPr="00C70A54">
              <w:t>Smolny</w:t>
            </w:r>
            <w:proofErr w:type="spellEnd"/>
            <w:r w:rsidRPr="00C70A54">
              <w:t xml:space="preserve"> participates in the networking component of the Bard Omnibus grant, at the cost of app. $ 50k per annum.</w:t>
            </w:r>
          </w:p>
          <w:p w14:paraId="7C906874" w14:textId="04543F4F" w:rsidR="003C309B" w:rsidRPr="00C70A54" w:rsidRDefault="00B07A69" w:rsidP="006E402A">
            <w:pPr>
              <w:tabs>
                <w:tab w:val="left" w:pos="6554"/>
              </w:tabs>
              <w:spacing w:line="240" w:lineRule="exact"/>
            </w:pPr>
            <w:hyperlink r:id="rId10" w:history="1">
              <w:r w:rsidR="003C309B" w:rsidRPr="00C70A54">
                <w:rPr>
                  <w:rStyle w:val="Hyperlink"/>
                </w:rPr>
                <w:t>https://myapplications.my.salesforce.com/00Od0000004Jf2x</w:t>
              </w:r>
            </w:hyperlink>
          </w:p>
        </w:tc>
      </w:tr>
      <w:tr w:rsidR="003C309B" w14:paraId="664FA6B0" w14:textId="77777777" w:rsidTr="006E402A">
        <w:tc>
          <w:tcPr>
            <w:tcW w:w="1843" w:type="dxa"/>
          </w:tcPr>
          <w:p w14:paraId="13EA97D2" w14:textId="77777777" w:rsidR="003C309B" w:rsidRDefault="003C309B" w:rsidP="006E402A">
            <w:r>
              <w:lastRenderedPageBreak/>
              <w:t>Graduate School for Social Research</w:t>
            </w:r>
          </w:p>
        </w:tc>
        <w:tc>
          <w:tcPr>
            <w:tcW w:w="992" w:type="dxa"/>
          </w:tcPr>
          <w:p w14:paraId="29CF044B" w14:textId="77777777" w:rsidR="003C309B" w:rsidRDefault="003C309B" w:rsidP="006E402A">
            <w:r>
              <w:t>1992</w:t>
            </w:r>
          </w:p>
        </w:tc>
        <w:tc>
          <w:tcPr>
            <w:tcW w:w="993" w:type="dxa"/>
          </w:tcPr>
          <w:p w14:paraId="05E48326" w14:textId="77777777" w:rsidR="003C309B" w:rsidRDefault="003C309B" w:rsidP="006E402A">
            <w:r>
              <w:t>2015</w:t>
            </w:r>
          </w:p>
        </w:tc>
        <w:tc>
          <w:tcPr>
            <w:tcW w:w="992" w:type="dxa"/>
          </w:tcPr>
          <w:p w14:paraId="2A87EA60" w14:textId="77777777" w:rsidR="003C309B" w:rsidRDefault="003C309B" w:rsidP="006E402A">
            <w:r>
              <w:t>15.727</w:t>
            </w:r>
          </w:p>
        </w:tc>
        <w:tc>
          <w:tcPr>
            <w:tcW w:w="1134" w:type="dxa"/>
          </w:tcPr>
          <w:p w14:paraId="3B3726BD" w14:textId="130DF00A" w:rsidR="003C309B" w:rsidRDefault="003C309B" w:rsidP="006E402A">
            <w:r>
              <w:t>7.585</w:t>
            </w:r>
          </w:p>
        </w:tc>
        <w:tc>
          <w:tcPr>
            <w:tcW w:w="1559" w:type="dxa"/>
          </w:tcPr>
          <w:p w14:paraId="4DD5ED89" w14:textId="77777777" w:rsidR="003C309B" w:rsidRDefault="003C309B" w:rsidP="006E402A">
            <w:r>
              <w:t>--</w:t>
            </w:r>
          </w:p>
        </w:tc>
        <w:tc>
          <w:tcPr>
            <w:tcW w:w="992" w:type="dxa"/>
          </w:tcPr>
          <w:p w14:paraId="2306888C" w14:textId="1B160ABD" w:rsidR="003C309B" w:rsidRDefault="003C309B" w:rsidP="006E402A">
            <w:r>
              <w:t>12</w:t>
            </w:r>
          </w:p>
        </w:tc>
        <w:tc>
          <w:tcPr>
            <w:tcW w:w="5670" w:type="dxa"/>
          </w:tcPr>
          <w:p w14:paraId="4CB12C4A" w14:textId="77777777" w:rsidR="003C309B" w:rsidRPr="00C70A54" w:rsidRDefault="003C309B" w:rsidP="006E402A">
            <w:pPr>
              <w:tabs>
                <w:tab w:val="left" w:pos="6554"/>
              </w:tabs>
              <w:spacing w:line="240" w:lineRule="exact"/>
            </w:pPr>
            <w:r w:rsidRPr="00C70A54">
              <w:t>HESP has provided GSSR with scholarship funding, which since Poland’s EU accession in 2004 was limited to non-EU students from CEE-</w:t>
            </w:r>
            <w:proofErr w:type="spellStart"/>
            <w:r w:rsidRPr="00C70A54">
              <w:t>fSU</w:t>
            </w:r>
            <w:proofErr w:type="spellEnd"/>
            <w:r w:rsidRPr="00C70A54">
              <w:t xml:space="preserve"> countries.</w:t>
            </w:r>
          </w:p>
          <w:p w14:paraId="43FCED06" w14:textId="77777777" w:rsidR="003C309B" w:rsidRPr="00C70A54" w:rsidRDefault="003C309B" w:rsidP="006E402A">
            <w:pPr>
              <w:tabs>
                <w:tab w:val="left" w:pos="6554"/>
              </w:tabs>
              <w:spacing w:line="240" w:lineRule="exact"/>
            </w:pPr>
            <w:r w:rsidRPr="00C70A54">
              <w:t>Following the separation of Centre of Social Studies (CEU’s Warsaw-based sociology department) from CEU in 2002-03 and merging it with GSSR, HESP initially took over CEU’s funding responsibilities and then covered the cost of the merger, which was completed in 2007.</w:t>
            </w:r>
          </w:p>
          <w:p w14:paraId="591DC65C" w14:textId="77777777" w:rsidR="003C309B" w:rsidRPr="00C70A54" w:rsidRDefault="00B07A69" w:rsidP="006E402A">
            <w:pPr>
              <w:tabs>
                <w:tab w:val="left" w:pos="6554"/>
              </w:tabs>
              <w:spacing w:line="240" w:lineRule="exact"/>
            </w:pPr>
            <w:hyperlink r:id="rId11" w:history="1">
              <w:r w:rsidR="003C309B" w:rsidRPr="00C70A54">
                <w:rPr>
                  <w:rStyle w:val="Hyperlink"/>
                </w:rPr>
                <w:t>https://myapplications.my.salesforce.com/00Od0000004Jf5D</w:t>
              </w:r>
            </w:hyperlink>
          </w:p>
        </w:tc>
      </w:tr>
      <w:tr w:rsidR="003C309B" w14:paraId="4A4DE813" w14:textId="77777777" w:rsidTr="006E402A">
        <w:tc>
          <w:tcPr>
            <w:tcW w:w="1843" w:type="dxa"/>
          </w:tcPr>
          <w:p w14:paraId="18BAA407" w14:textId="77777777" w:rsidR="003C309B" w:rsidRDefault="003C309B" w:rsidP="006E402A">
            <w:r>
              <w:t>Moscow School of Social and Economic Sciences</w:t>
            </w:r>
          </w:p>
        </w:tc>
        <w:tc>
          <w:tcPr>
            <w:tcW w:w="992" w:type="dxa"/>
          </w:tcPr>
          <w:p w14:paraId="4B335E35" w14:textId="77777777" w:rsidR="003C309B" w:rsidRDefault="003C309B" w:rsidP="006E402A">
            <w:r>
              <w:t>1992</w:t>
            </w:r>
          </w:p>
        </w:tc>
        <w:tc>
          <w:tcPr>
            <w:tcW w:w="993" w:type="dxa"/>
          </w:tcPr>
          <w:p w14:paraId="0CB203E7" w14:textId="77777777" w:rsidR="003C309B" w:rsidRDefault="003C309B" w:rsidP="006E402A">
            <w:r>
              <w:t>2012</w:t>
            </w:r>
          </w:p>
        </w:tc>
        <w:tc>
          <w:tcPr>
            <w:tcW w:w="992" w:type="dxa"/>
          </w:tcPr>
          <w:p w14:paraId="244C76EF" w14:textId="77777777" w:rsidR="003C309B" w:rsidRDefault="003C309B" w:rsidP="006E402A">
            <w:r>
              <w:t>15.051</w:t>
            </w:r>
          </w:p>
        </w:tc>
        <w:tc>
          <w:tcPr>
            <w:tcW w:w="1134" w:type="dxa"/>
          </w:tcPr>
          <w:p w14:paraId="247B6347" w14:textId="77777777" w:rsidR="003C309B" w:rsidRDefault="003C309B" w:rsidP="006E402A">
            <w:r>
              <w:t>8.551</w:t>
            </w:r>
          </w:p>
        </w:tc>
        <w:tc>
          <w:tcPr>
            <w:tcW w:w="1559" w:type="dxa"/>
          </w:tcPr>
          <w:p w14:paraId="2C9C53F7" w14:textId="77777777" w:rsidR="003C309B" w:rsidRDefault="003C309B" w:rsidP="006E402A">
            <w:r>
              <w:t>--</w:t>
            </w:r>
          </w:p>
        </w:tc>
        <w:tc>
          <w:tcPr>
            <w:tcW w:w="992" w:type="dxa"/>
          </w:tcPr>
          <w:p w14:paraId="044DF4EA" w14:textId="0EF02367" w:rsidR="003C309B" w:rsidRDefault="003C309B" w:rsidP="006E402A">
            <w:r>
              <w:t>27</w:t>
            </w:r>
          </w:p>
        </w:tc>
        <w:tc>
          <w:tcPr>
            <w:tcW w:w="5670" w:type="dxa"/>
          </w:tcPr>
          <w:p w14:paraId="3DB961BE" w14:textId="77777777" w:rsidR="003C309B" w:rsidRPr="00C70A54" w:rsidRDefault="003C309B" w:rsidP="006E402A">
            <w:pPr>
              <w:tabs>
                <w:tab w:val="left" w:pos="6554"/>
              </w:tabs>
            </w:pPr>
            <w:r w:rsidRPr="00C70A54">
              <w:t>HESP provided MSSES with scholarship funding as well as institutional grants, which to a significant degree covered the rentals cost of their premises, payable to ANE.  Our funding was discontinued in 2012, following an earlier review report that identified major areas of non-transparency in the School’s operations, particularly related to its multiple ties to the host organization – the Academy of the National Economy.</w:t>
            </w:r>
          </w:p>
          <w:p w14:paraId="0BE77A5D" w14:textId="77777777" w:rsidR="003C309B" w:rsidRPr="00C70A54" w:rsidRDefault="00B07A69" w:rsidP="006E402A">
            <w:pPr>
              <w:tabs>
                <w:tab w:val="left" w:pos="6554"/>
              </w:tabs>
              <w:spacing w:line="240" w:lineRule="exact"/>
            </w:pPr>
            <w:hyperlink r:id="rId12" w:history="1">
              <w:r w:rsidR="003C309B" w:rsidRPr="00C70A54">
                <w:rPr>
                  <w:rStyle w:val="Hyperlink"/>
                </w:rPr>
                <w:t>https://myapplications.my.salesforce.com/00Od0000004Jf5h</w:t>
              </w:r>
            </w:hyperlink>
          </w:p>
        </w:tc>
      </w:tr>
      <w:tr w:rsidR="003C309B" w14:paraId="2961DDB7" w14:textId="77777777" w:rsidTr="006E402A">
        <w:tc>
          <w:tcPr>
            <w:tcW w:w="1843" w:type="dxa"/>
          </w:tcPr>
          <w:p w14:paraId="08E12746" w14:textId="77777777" w:rsidR="003C309B" w:rsidRDefault="003C309B" w:rsidP="006E402A">
            <w:r>
              <w:t>New Economic School</w:t>
            </w:r>
          </w:p>
        </w:tc>
        <w:tc>
          <w:tcPr>
            <w:tcW w:w="992" w:type="dxa"/>
          </w:tcPr>
          <w:p w14:paraId="40AC602D" w14:textId="77777777" w:rsidR="003C309B" w:rsidRDefault="003C309B" w:rsidP="006E402A">
            <w:r>
              <w:t>1992</w:t>
            </w:r>
          </w:p>
        </w:tc>
        <w:tc>
          <w:tcPr>
            <w:tcW w:w="993" w:type="dxa"/>
          </w:tcPr>
          <w:p w14:paraId="2FF27D95" w14:textId="77777777" w:rsidR="003C309B" w:rsidRDefault="003C309B" w:rsidP="006E402A">
            <w:r>
              <w:t>On</w:t>
            </w:r>
          </w:p>
          <w:p w14:paraId="04C891CD" w14:textId="77777777" w:rsidR="003C309B" w:rsidRDefault="003C309B" w:rsidP="006E402A">
            <w:r>
              <w:t>going</w:t>
            </w:r>
          </w:p>
          <w:p w14:paraId="1D8E22B1" w14:textId="77777777" w:rsidR="003C309B" w:rsidRDefault="003C309B" w:rsidP="006E402A"/>
        </w:tc>
        <w:tc>
          <w:tcPr>
            <w:tcW w:w="992" w:type="dxa"/>
          </w:tcPr>
          <w:p w14:paraId="70D5A322" w14:textId="4190CD63" w:rsidR="003C309B" w:rsidRDefault="003C309B" w:rsidP="006E402A">
            <w:r>
              <w:t>8.361</w:t>
            </w:r>
          </w:p>
        </w:tc>
        <w:tc>
          <w:tcPr>
            <w:tcW w:w="1134" w:type="dxa"/>
          </w:tcPr>
          <w:p w14:paraId="4EE05074" w14:textId="4696C822" w:rsidR="003C309B" w:rsidRDefault="003C309B" w:rsidP="006E402A">
            <w:r>
              <w:t>6.061</w:t>
            </w:r>
          </w:p>
        </w:tc>
        <w:tc>
          <w:tcPr>
            <w:tcW w:w="1559" w:type="dxa"/>
          </w:tcPr>
          <w:p w14:paraId="0E7B4AC9" w14:textId="77777777" w:rsidR="003C309B" w:rsidRDefault="003C309B" w:rsidP="006E402A">
            <w:r>
              <w:t xml:space="preserve">2.00 </w:t>
            </w:r>
          </w:p>
        </w:tc>
        <w:tc>
          <w:tcPr>
            <w:tcW w:w="992" w:type="dxa"/>
          </w:tcPr>
          <w:p w14:paraId="2AF0AFED" w14:textId="7037A77E" w:rsidR="003C309B" w:rsidRDefault="003C309B" w:rsidP="006E402A">
            <w:r>
              <w:t>18</w:t>
            </w:r>
          </w:p>
        </w:tc>
        <w:tc>
          <w:tcPr>
            <w:tcW w:w="5670" w:type="dxa"/>
          </w:tcPr>
          <w:p w14:paraId="6E99E5B2" w14:textId="77777777" w:rsidR="003C309B" w:rsidRPr="00C70A54" w:rsidRDefault="003C309B" w:rsidP="006E402A">
            <w:pPr>
              <w:tabs>
                <w:tab w:val="left" w:pos="6554"/>
              </w:tabs>
            </w:pPr>
            <w:r w:rsidRPr="00C70A54">
              <w:t xml:space="preserve">HESP has provided NES with scholarship funding and funds to cover their rental costs. The latter was discontinued after allocating $ 2m towards NES building in 2007. </w:t>
            </w:r>
          </w:p>
          <w:p w14:paraId="210DCC43" w14:textId="77777777" w:rsidR="003C309B" w:rsidRPr="00C70A54" w:rsidRDefault="00B07A69" w:rsidP="006E402A">
            <w:pPr>
              <w:tabs>
                <w:tab w:val="left" w:pos="6554"/>
              </w:tabs>
              <w:spacing w:line="240" w:lineRule="exact"/>
            </w:pPr>
            <w:hyperlink r:id="rId13" w:history="1">
              <w:r w:rsidR="003C309B" w:rsidRPr="00C70A54">
                <w:rPr>
                  <w:rStyle w:val="Hyperlink"/>
                </w:rPr>
                <w:t>https://myapplications.my.salesforce.com/00Od0000004Jf66</w:t>
              </w:r>
            </w:hyperlink>
          </w:p>
        </w:tc>
      </w:tr>
      <w:tr w:rsidR="003C309B" w14:paraId="690D1907" w14:textId="77777777" w:rsidTr="006E402A">
        <w:tc>
          <w:tcPr>
            <w:tcW w:w="1843" w:type="dxa"/>
          </w:tcPr>
          <w:p w14:paraId="2A8371E0" w14:textId="77777777" w:rsidR="003C309B" w:rsidRDefault="003C309B" w:rsidP="006E402A">
            <w:r>
              <w:t>European Humanities University</w:t>
            </w:r>
          </w:p>
        </w:tc>
        <w:tc>
          <w:tcPr>
            <w:tcW w:w="992" w:type="dxa"/>
          </w:tcPr>
          <w:p w14:paraId="0FB4614A" w14:textId="77777777" w:rsidR="003C309B" w:rsidRDefault="003C309B" w:rsidP="006E402A">
            <w:r>
              <w:t>1994</w:t>
            </w:r>
          </w:p>
        </w:tc>
        <w:tc>
          <w:tcPr>
            <w:tcW w:w="993" w:type="dxa"/>
          </w:tcPr>
          <w:p w14:paraId="16050F3B" w14:textId="77777777" w:rsidR="003C309B" w:rsidRDefault="003C309B" w:rsidP="006E402A">
            <w:r>
              <w:t>2015</w:t>
            </w:r>
          </w:p>
        </w:tc>
        <w:tc>
          <w:tcPr>
            <w:tcW w:w="992" w:type="dxa"/>
          </w:tcPr>
          <w:p w14:paraId="5B25F883" w14:textId="49C2F655" w:rsidR="003C309B" w:rsidRDefault="003C309B" w:rsidP="006E402A">
            <w:r>
              <w:t>6.047</w:t>
            </w:r>
          </w:p>
        </w:tc>
        <w:tc>
          <w:tcPr>
            <w:tcW w:w="1134" w:type="dxa"/>
          </w:tcPr>
          <w:p w14:paraId="5ABBAEA0" w14:textId="4B78B7F7" w:rsidR="003C309B" w:rsidRDefault="003C309B" w:rsidP="006E402A">
            <w:r>
              <w:t>3.847</w:t>
            </w:r>
          </w:p>
        </w:tc>
        <w:tc>
          <w:tcPr>
            <w:tcW w:w="1559" w:type="dxa"/>
          </w:tcPr>
          <w:p w14:paraId="6D2725AF" w14:textId="77777777" w:rsidR="003C309B" w:rsidRDefault="003C309B" w:rsidP="006E402A">
            <w:r>
              <w:t>0.116</w:t>
            </w:r>
          </w:p>
        </w:tc>
        <w:tc>
          <w:tcPr>
            <w:tcW w:w="992" w:type="dxa"/>
          </w:tcPr>
          <w:p w14:paraId="11DDAA8E" w14:textId="77777777" w:rsidR="003C309B" w:rsidRDefault="003C309B" w:rsidP="006E402A">
            <w:r>
              <w:t>10</w:t>
            </w:r>
          </w:p>
        </w:tc>
        <w:tc>
          <w:tcPr>
            <w:tcW w:w="5670" w:type="dxa"/>
          </w:tcPr>
          <w:p w14:paraId="7FE4C659" w14:textId="77777777" w:rsidR="003C309B" w:rsidRPr="00C70A54" w:rsidRDefault="003C309B" w:rsidP="006E402A">
            <w:pPr>
              <w:tabs>
                <w:tab w:val="left" w:pos="6554"/>
              </w:tabs>
              <w:spacing w:line="240" w:lineRule="exact"/>
            </w:pPr>
            <w:r w:rsidRPr="00C70A54">
              <w:t>HESP funding up until 2004 consisted of relatively small, often ad hoc grants, lacking a coherent strategy. This despite a strategic decision made in 1996 to fund student scholarships at the level of $ 300,000 per annum. Since EHU’s exile to Vilnius HESP has funded the Low-residence (distance learning) program. Since 2012 this has been channelled through the Bard Omnibus grant.</w:t>
            </w:r>
          </w:p>
          <w:p w14:paraId="069A5074" w14:textId="77777777" w:rsidR="003C309B" w:rsidRPr="00C70A54" w:rsidRDefault="00B07A69" w:rsidP="006E402A">
            <w:pPr>
              <w:tabs>
                <w:tab w:val="left" w:pos="6554"/>
              </w:tabs>
            </w:pPr>
            <w:hyperlink r:id="rId14" w:history="1">
              <w:r w:rsidR="003C309B" w:rsidRPr="00C70A54">
                <w:rPr>
                  <w:rStyle w:val="Hyperlink"/>
                </w:rPr>
                <w:t>https://myapplications.my.salesforce.com/00Od0000004Jf2Y</w:t>
              </w:r>
            </w:hyperlink>
          </w:p>
        </w:tc>
      </w:tr>
      <w:tr w:rsidR="003C309B" w14:paraId="7F2699CF" w14:textId="77777777" w:rsidTr="006E402A">
        <w:tc>
          <w:tcPr>
            <w:tcW w:w="1843" w:type="dxa"/>
          </w:tcPr>
          <w:p w14:paraId="368605CC" w14:textId="77777777" w:rsidR="003C309B" w:rsidRDefault="003C309B" w:rsidP="006E402A">
            <w:r>
              <w:t xml:space="preserve">South East European </w:t>
            </w:r>
            <w:r>
              <w:lastRenderedPageBreak/>
              <w:t>University</w:t>
            </w:r>
          </w:p>
        </w:tc>
        <w:tc>
          <w:tcPr>
            <w:tcW w:w="992" w:type="dxa"/>
          </w:tcPr>
          <w:p w14:paraId="4E993E4C" w14:textId="77777777" w:rsidR="003C309B" w:rsidRDefault="003C309B" w:rsidP="006E402A">
            <w:r>
              <w:lastRenderedPageBreak/>
              <w:t>2000</w:t>
            </w:r>
          </w:p>
        </w:tc>
        <w:tc>
          <w:tcPr>
            <w:tcW w:w="993" w:type="dxa"/>
          </w:tcPr>
          <w:p w14:paraId="67F7C59F" w14:textId="77777777" w:rsidR="003C309B" w:rsidRDefault="003C309B" w:rsidP="006E402A">
            <w:r>
              <w:t>2016</w:t>
            </w:r>
          </w:p>
        </w:tc>
        <w:tc>
          <w:tcPr>
            <w:tcW w:w="992" w:type="dxa"/>
          </w:tcPr>
          <w:p w14:paraId="276540B3" w14:textId="77777777" w:rsidR="003C309B" w:rsidRDefault="003C309B" w:rsidP="006E402A">
            <w:r>
              <w:t>3.824</w:t>
            </w:r>
          </w:p>
        </w:tc>
        <w:tc>
          <w:tcPr>
            <w:tcW w:w="1134" w:type="dxa"/>
          </w:tcPr>
          <w:p w14:paraId="726FE7FE" w14:textId="77777777" w:rsidR="003C309B" w:rsidRDefault="003C309B" w:rsidP="006E402A">
            <w:r>
              <w:t>1.128</w:t>
            </w:r>
          </w:p>
        </w:tc>
        <w:tc>
          <w:tcPr>
            <w:tcW w:w="1559" w:type="dxa"/>
          </w:tcPr>
          <w:p w14:paraId="4A23FABA" w14:textId="77777777" w:rsidR="003C309B" w:rsidRDefault="003C309B" w:rsidP="006E402A">
            <w:r>
              <w:t>2.0</w:t>
            </w:r>
          </w:p>
        </w:tc>
        <w:tc>
          <w:tcPr>
            <w:tcW w:w="992" w:type="dxa"/>
          </w:tcPr>
          <w:p w14:paraId="61568A5C" w14:textId="4FD0899A" w:rsidR="003C309B" w:rsidRDefault="003C309B" w:rsidP="006E402A">
            <w:r>
              <w:t>6</w:t>
            </w:r>
          </w:p>
        </w:tc>
        <w:tc>
          <w:tcPr>
            <w:tcW w:w="5670" w:type="dxa"/>
          </w:tcPr>
          <w:p w14:paraId="5006CEA0" w14:textId="77777777" w:rsidR="003C309B" w:rsidRPr="00C70A54" w:rsidRDefault="003C309B" w:rsidP="006E402A">
            <w:pPr>
              <w:tabs>
                <w:tab w:val="left" w:pos="6554"/>
              </w:tabs>
              <w:spacing w:line="240" w:lineRule="exact"/>
            </w:pPr>
            <w:r w:rsidRPr="00C70A54">
              <w:t xml:space="preserve">After having contributed $ 2m towards establishing the University, HESP provided SEEU with scholarship funding. The last cohort of </w:t>
            </w:r>
            <w:r w:rsidRPr="00C70A54">
              <w:lastRenderedPageBreak/>
              <w:t>students on HESP scholarships was admitted in 2013.</w:t>
            </w:r>
          </w:p>
          <w:p w14:paraId="3031BCD9" w14:textId="77777777" w:rsidR="003C309B" w:rsidRPr="00C70A54" w:rsidRDefault="00B07A69" w:rsidP="006E402A">
            <w:pPr>
              <w:tabs>
                <w:tab w:val="left" w:pos="6554"/>
              </w:tabs>
              <w:spacing w:line="240" w:lineRule="exact"/>
            </w:pPr>
            <w:hyperlink r:id="rId15" w:history="1">
              <w:r w:rsidR="003C309B" w:rsidRPr="00C70A54">
                <w:rPr>
                  <w:rStyle w:val="Hyperlink"/>
                </w:rPr>
                <w:t>https://myapplications.my.salesforce.com/00Od0000004Jf6Q</w:t>
              </w:r>
            </w:hyperlink>
          </w:p>
        </w:tc>
      </w:tr>
      <w:tr w:rsidR="003C309B" w14:paraId="25DC3ACD" w14:textId="77777777" w:rsidTr="006E402A">
        <w:tc>
          <w:tcPr>
            <w:tcW w:w="1843" w:type="dxa"/>
          </w:tcPr>
          <w:p w14:paraId="06E79742" w14:textId="77777777" w:rsidR="003C309B" w:rsidRDefault="003C309B" w:rsidP="006E402A">
            <w:r>
              <w:lastRenderedPageBreak/>
              <w:t>New Bulgarian University</w:t>
            </w:r>
          </w:p>
        </w:tc>
        <w:tc>
          <w:tcPr>
            <w:tcW w:w="992" w:type="dxa"/>
          </w:tcPr>
          <w:p w14:paraId="7DA27898" w14:textId="77777777" w:rsidR="003C309B" w:rsidRDefault="003C309B" w:rsidP="006E402A">
            <w:r>
              <w:t>1994</w:t>
            </w:r>
          </w:p>
        </w:tc>
        <w:tc>
          <w:tcPr>
            <w:tcW w:w="993" w:type="dxa"/>
          </w:tcPr>
          <w:p w14:paraId="5CF95335" w14:textId="77777777" w:rsidR="003C309B" w:rsidRDefault="003C309B" w:rsidP="006E402A">
            <w:r>
              <w:t>2014</w:t>
            </w:r>
          </w:p>
        </w:tc>
        <w:tc>
          <w:tcPr>
            <w:tcW w:w="992" w:type="dxa"/>
          </w:tcPr>
          <w:p w14:paraId="63F9F8FC" w14:textId="77777777" w:rsidR="003C309B" w:rsidRDefault="003C309B" w:rsidP="006E402A">
            <w:r>
              <w:t>3.092</w:t>
            </w:r>
          </w:p>
        </w:tc>
        <w:tc>
          <w:tcPr>
            <w:tcW w:w="1134" w:type="dxa"/>
          </w:tcPr>
          <w:p w14:paraId="07D1C87F" w14:textId="77777777" w:rsidR="003C309B" w:rsidRDefault="003C309B" w:rsidP="006E402A">
            <w:r>
              <w:t>.932</w:t>
            </w:r>
          </w:p>
        </w:tc>
        <w:tc>
          <w:tcPr>
            <w:tcW w:w="1559" w:type="dxa"/>
          </w:tcPr>
          <w:p w14:paraId="160567A9" w14:textId="77777777" w:rsidR="003C309B" w:rsidRDefault="003C309B" w:rsidP="006E402A">
            <w:r>
              <w:t>.5</w:t>
            </w:r>
          </w:p>
        </w:tc>
        <w:tc>
          <w:tcPr>
            <w:tcW w:w="992" w:type="dxa"/>
          </w:tcPr>
          <w:p w14:paraId="686688B9" w14:textId="77777777" w:rsidR="003C309B" w:rsidRDefault="003C309B" w:rsidP="006E402A">
            <w:r>
              <w:t>11</w:t>
            </w:r>
          </w:p>
        </w:tc>
        <w:tc>
          <w:tcPr>
            <w:tcW w:w="5670" w:type="dxa"/>
          </w:tcPr>
          <w:p w14:paraId="4098023D" w14:textId="77777777" w:rsidR="003C309B" w:rsidRPr="00C70A54" w:rsidRDefault="003C309B" w:rsidP="006E402A">
            <w:pPr>
              <w:tabs>
                <w:tab w:val="left" w:pos="6554"/>
              </w:tabs>
              <w:spacing w:line="240" w:lineRule="exact"/>
            </w:pPr>
            <w:r w:rsidRPr="00C70A54">
              <w:t>In the early years in 1990s HESP primary focus at NBU was its renowned Centre of Cognitive Science. Since 2000 HESP provided scholarship funding, which since 2007 was limited to students from minority backgrounds, particularly Roma students. The last cohort of students on HESP scholarships was admitted in 2010.</w:t>
            </w:r>
          </w:p>
          <w:p w14:paraId="229AC09E" w14:textId="77777777" w:rsidR="003C309B" w:rsidRPr="00C70A54" w:rsidRDefault="00B07A69" w:rsidP="006E402A">
            <w:pPr>
              <w:tabs>
                <w:tab w:val="left" w:pos="6554"/>
              </w:tabs>
            </w:pPr>
            <w:hyperlink r:id="rId16" w:history="1">
              <w:r w:rsidR="003C309B" w:rsidRPr="00C70A54">
                <w:rPr>
                  <w:rStyle w:val="Hyperlink"/>
                </w:rPr>
                <w:t>https://myapplications.my.salesforce.com/00Od0000004Jf5r</w:t>
              </w:r>
            </w:hyperlink>
          </w:p>
        </w:tc>
      </w:tr>
      <w:tr w:rsidR="003C309B" w14:paraId="38F5DB6A" w14:textId="77777777" w:rsidTr="006E402A">
        <w:tc>
          <w:tcPr>
            <w:tcW w:w="1843" w:type="dxa"/>
          </w:tcPr>
          <w:p w14:paraId="7C2E5CBB" w14:textId="77777777" w:rsidR="003C309B" w:rsidRDefault="003C309B" w:rsidP="006E402A">
            <w:r>
              <w:t>Al Quds – Bard College of Arts Sciences</w:t>
            </w:r>
          </w:p>
        </w:tc>
        <w:tc>
          <w:tcPr>
            <w:tcW w:w="992" w:type="dxa"/>
          </w:tcPr>
          <w:p w14:paraId="19A86CF8" w14:textId="77777777" w:rsidR="003C309B" w:rsidRDefault="003C309B" w:rsidP="006E402A">
            <w:r>
              <w:t>2012</w:t>
            </w:r>
          </w:p>
        </w:tc>
        <w:tc>
          <w:tcPr>
            <w:tcW w:w="993" w:type="dxa"/>
          </w:tcPr>
          <w:p w14:paraId="6D692375" w14:textId="77777777" w:rsidR="003C309B" w:rsidRDefault="003C309B" w:rsidP="006E402A">
            <w:r>
              <w:t xml:space="preserve">On going </w:t>
            </w:r>
          </w:p>
        </w:tc>
        <w:tc>
          <w:tcPr>
            <w:tcW w:w="992" w:type="dxa"/>
          </w:tcPr>
          <w:p w14:paraId="758236A3" w14:textId="3FAB1C8A" w:rsidR="003C309B" w:rsidRDefault="003C309B" w:rsidP="006E402A">
            <w:r>
              <w:t>3.076</w:t>
            </w:r>
          </w:p>
        </w:tc>
        <w:tc>
          <w:tcPr>
            <w:tcW w:w="1134" w:type="dxa"/>
          </w:tcPr>
          <w:p w14:paraId="1F77043A" w14:textId="1EF2F8AF" w:rsidR="003C309B" w:rsidRDefault="003C309B" w:rsidP="006E402A">
            <w:r>
              <w:t>3.076</w:t>
            </w:r>
          </w:p>
        </w:tc>
        <w:tc>
          <w:tcPr>
            <w:tcW w:w="1559" w:type="dxa"/>
          </w:tcPr>
          <w:p w14:paraId="33E9E609" w14:textId="77777777" w:rsidR="003C309B" w:rsidRDefault="003C309B" w:rsidP="006E402A">
            <w:r>
              <w:t>--</w:t>
            </w:r>
          </w:p>
        </w:tc>
        <w:tc>
          <w:tcPr>
            <w:tcW w:w="992" w:type="dxa"/>
          </w:tcPr>
          <w:p w14:paraId="2F2AAD41" w14:textId="77777777" w:rsidR="003C309B" w:rsidRDefault="003C309B" w:rsidP="006E402A">
            <w:r>
              <w:t>1</w:t>
            </w:r>
          </w:p>
        </w:tc>
        <w:tc>
          <w:tcPr>
            <w:tcW w:w="5670" w:type="dxa"/>
          </w:tcPr>
          <w:p w14:paraId="1345631E" w14:textId="77777777" w:rsidR="003C309B" w:rsidRPr="00C70A54" w:rsidRDefault="003C309B" w:rsidP="006E402A">
            <w:pPr>
              <w:tabs>
                <w:tab w:val="left" w:pos="6554"/>
              </w:tabs>
              <w:spacing w:line="240" w:lineRule="exact"/>
            </w:pPr>
            <w:r w:rsidRPr="00C70A54">
              <w:t xml:space="preserve">AQB is funded through the Bard Omnibus grant at the level of </w:t>
            </w:r>
          </w:p>
          <w:p w14:paraId="6ED8E7AA" w14:textId="77777777" w:rsidR="003C309B" w:rsidRDefault="003C309B" w:rsidP="0023097D">
            <w:pPr>
              <w:tabs>
                <w:tab w:val="left" w:pos="6554"/>
              </w:tabs>
              <w:spacing w:line="240" w:lineRule="exact"/>
            </w:pPr>
            <w:r w:rsidRPr="00C70A54">
              <w:t>$ 975k million a year.  AQB is critically dependent on OSF funding as its second main source of funding USAID – remains highly uncertain.</w:t>
            </w:r>
          </w:p>
          <w:p w14:paraId="67F83AD5" w14:textId="2FACBDB4" w:rsidR="00B60853" w:rsidRPr="00B60853" w:rsidRDefault="00B60853" w:rsidP="0023097D">
            <w:pPr>
              <w:tabs>
                <w:tab w:val="left" w:pos="6554"/>
              </w:tabs>
              <w:spacing w:line="240" w:lineRule="exact"/>
              <w:rPr>
                <w:sz w:val="22"/>
                <w:szCs w:val="22"/>
              </w:rPr>
            </w:pPr>
            <w:r w:rsidRPr="00B60853">
              <w:rPr>
                <w:rFonts w:cs="Calibri"/>
                <w:color w:val="0000FF"/>
                <w:sz w:val="22"/>
                <w:szCs w:val="22"/>
                <w:u w:val="single" w:color="0000FF"/>
              </w:rPr>
              <w:t>https://myapplications.my.salesforce.com/006d000000C272q</w:t>
            </w:r>
          </w:p>
        </w:tc>
      </w:tr>
      <w:tr w:rsidR="003C309B" w14:paraId="34D432DB" w14:textId="77777777" w:rsidTr="006E402A">
        <w:tc>
          <w:tcPr>
            <w:tcW w:w="1843" w:type="dxa"/>
          </w:tcPr>
          <w:p w14:paraId="4B48D510" w14:textId="65E48845" w:rsidR="003C309B" w:rsidRDefault="003C309B" w:rsidP="006E402A">
            <w:r>
              <w:t>Riga Graduate School of Law</w:t>
            </w:r>
          </w:p>
        </w:tc>
        <w:tc>
          <w:tcPr>
            <w:tcW w:w="992" w:type="dxa"/>
          </w:tcPr>
          <w:p w14:paraId="4422939D" w14:textId="0B4C9B4F" w:rsidR="003C309B" w:rsidRDefault="003C309B" w:rsidP="006E402A">
            <w:r>
              <w:t>2003</w:t>
            </w:r>
          </w:p>
        </w:tc>
        <w:tc>
          <w:tcPr>
            <w:tcW w:w="993" w:type="dxa"/>
          </w:tcPr>
          <w:p w14:paraId="7D85CED7" w14:textId="14EEC9D1" w:rsidR="003C309B" w:rsidRDefault="003C309B" w:rsidP="006E402A">
            <w:r>
              <w:t>2014</w:t>
            </w:r>
          </w:p>
        </w:tc>
        <w:tc>
          <w:tcPr>
            <w:tcW w:w="992" w:type="dxa"/>
          </w:tcPr>
          <w:p w14:paraId="115D0206" w14:textId="27C11F88" w:rsidR="003C309B" w:rsidRDefault="003C309B" w:rsidP="006E402A">
            <w:r>
              <w:t>2.229</w:t>
            </w:r>
          </w:p>
        </w:tc>
        <w:tc>
          <w:tcPr>
            <w:tcW w:w="1134" w:type="dxa"/>
          </w:tcPr>
          <w:p w14:paraId="382353A8" w14:textId="36E37E9F" w:rsidR="003C309B" w:rsidRDefault="003C309B" w:rsidP="006E402A">
            <w:r>
              <w:t>1.692</w:t>
            </w:r>
          </w:p>
        </w:tc>
        <w:tc>
          <w:tcPr>
            <w:tcW w:w="1559" w:type="dxa"/>
          </w:tcPr>
          <w:p w14:paraId="3E4D25B4" w14:textId="507D67E9" w:rsidR="003C309B" w:rsidRDefault="003C309B" w:rsidP="006E402A">
            <w:r>
              <w:t>--</w:t>
            </w:r>
          </w:p>
        </w:tc>
        <w:tc>
          <w:tcPr>
            <w:tcW w:w="992" w:type="dxa"/>
          </w:tcPr>
          <w:p w14:paraId="30AC43C8" w14:textId="77777777" w:rsidR="003C309B" w:rsidRDefault="003C309B" w:rsidP="006E402A"/>
        </w:tc>
        <w:tc>
          <w:tcPr>
            <w:tcW w:w="5670" w:type="dxa"/>
          </w:tcPr>
          <w:p w14:paraId="760840CA" w14:textId="77777777" w:rsidR="003C309B" w:rsidRPr="00C70A54" w:rsidRDefault="003C309B" w:rsidP="00BC0AD4">
            <w:pPr>
              <w:tabs>
                <w:tab w:val="left" w:pos="6554"/>
              </w:tabs>
            </w:pPr>
            <w:r w:rsidRPr="00C70A54">
              <w:t>Before HESP took over the commitment to fund RGSL from Soros Foundation-Latvia in 2003, the latter had contributed $ 4m as annual institutional grants and infrastructure investment.</w:t>
            </w:r>
          </w:p>
          <w:p w14:paraId="35AA7BD8" w14:textId="77777777" w:rsidR="003C309B" w:rsidRPr="00C70A54" w:rsidRDefault="003C309B" w:rsidP="00BC0AD4">
            <w:pPr>
              <w:tabs>
                <w:tab w:val="left" w:pos="6554"/>
              </w:tabs>
            </w:pPr>
            <w:r w:rsidRPr="00C70A54">
              <w:t>Since 2006 HESP funding was solely for scholarships.</w:t>
            </w:r>
          </w:p>
          <w:p w14:paraId="5BB11DE1" w14:textId="685DEE0D" w:rsidR="003C309B" w:rsidRPr="00C70A54" w:rsidRDefault="00B07A69" w:rsidP="006E402A">
            <w:pPr>
              <w:tabs>
                <w:tab w:val="left" w:pos="6554"/>
              </w:tabs>
              <w:spacing w:line="240" w:lineRule="exact"/>
            </w:pPr>
            <w:hyperlink r:id="rId17" w:history="1">
              <w:r w:rsidR="003C309B" w:rsidRPr="00C70A54">
                <w:rPr>
                  <w:rStyle w:val="Hyperlink"/>
                </w:rPr>
                <w:t>https://myapplications.my.salesforce.com/00Od0000004Jf6L</w:t>
              </w:r>
            </w:hyperlink>
          </w:p>
        </w:tc>
      </w:tr>
      <w:tr w:rsidR="003C309B" w14:paraId="68913794" w14:textId="77777777" w:rsidTr="006E402A">
        <w:tc>
          <w:tcPr>
            <w:tcW w:w="1843" w:type="dxa"/>
          </w:tcPr>
          <w:p w14:paraId="4AEF49C6" w14:textId="77777777" w:rsidR="003C309B" w:rsidRDefault="003C309B" w:rsidP="006E402A">
            <w:proofErr w:type="spellStart"/>
            <w:r>
              <w:t>Nepa</w:t>
            </w:r>
            <w:proofErr w:type="spellEnd"/>
          </w:p>
          <w:p w14:paraId="58EE09B8" w14:textId="77777777" w:rsidR="003C309B" w:rsidRDefault="003C309B" w:rsidP="006E402A">
            <w:r>
              <w:t>School of Social Sciences and Humanities</w:t>
            </w:r>
          </w:p>
        </w:tc>
        <w:tc>
          <w:tcPr>
            <w:tcW w:w="992" w:type="dxa"/>
          </w:tcPr>
          <w:p w14:paraId="3EF7BB0D" w14:textId="77777777" w:rsidR="003C309B" w:rsidRDefault="003C309B" w:rsidP="006E402A">
            <w:r>
              <w:t>2009</w:t>
            </w:r>
          </w:p>
        </w:tc>
        <w:tc>
          <w:tcPr>
            <w:tcW w:w="993" w:type="dxa"/>
          </w:tcPr>
          <w:p w14:paraId="40CFA815" w14:textId="77777777" w:rsidR="003C309B" w:rsidRDefault="003C309B" w:rsidP="006E402A">
            <w:r>
              <w:t>2014</w:t>
            </w:r>
          </w:p>
        </w:tc>
        <w:tc>
          <w:tcPr>
            <w:tcW w:w="992" w:type="dxa"/>
          </w:tcPr>
          <w:p w14:paraId="796FF69B" w14:textId="77777777" w:rsidR="003C309B" w:rsidRDefault="003C309B" w:rsidP="006E402A">
            <w:r>
              <w:t>1.409</w:t>
            </w:r>
          </w:p>
        </w:tc>
        <w:tc>
          <w:tcPr>
            <w:tcW w:w="1134" w:type="dxa"/>
          </w:tcPr>
          <w:p w14:paraId="5754955D" w14:textId="77777777" w:rsidR="003C309B" w:rsidRDefault="003C309B" w:rsidP="006E402A">
            <w:r>
              <w:t>1.409</w:t>
            </w:r>
          </w:p>
        </w:tc>
        <w:tc>
          <w:tcPr>
            <w:tcW w:w="1559" w:type="dxa"/>
          </w:tcPr>
          <w:p w14:paraId="62F2F0C4" w14:textId="77777777" w:rsidR="003C309B" w:rsidRDefault="003C309B" w:rsidP="006E402A">
            <w:r>
              <w:t>--</w:t>
            </w:r>
          </w:p>
        </w:tc>
        <w:tc>
          <w:tcPr>
            <w:tcW w:w="992" w:type="dxa"/>
          </w:tcPr>
          <w:p w14:paraId="1D0B8332" w14:textId="23F3BA34" w:rsidR="003C309B" w:rsidRDefault="003C309B" w:rsidP="006E402A">
            <w:r>
              <w:t>3</w:t>
            </w:r>
          </w:p>
        </w:tc>
        <w:tc>
          <w:tcPr>
            <w:tcW w:w="5670" w:type="dxa"/>
          </w:tcPr>
          <w:p w14:paraId="5DB4CF88" w14:textId="77777777" w:rsidR="003C309B" w:rsidRPr="00C70A54" w:rsidRDefault="003C309B" w:rsidP="006E402A">
            <w:pPr>
              <w:tabs>
                <w:tab w:val="left" w:pos="6554"/>
              </w:tabs>
            </w:pPr>
            <w:r w:rsidRPr="00C70A54">
              <w:t xml:space="preserve">HESP supported the founding of the School and provided institutional support. As after 5 years the School still failed attracting any additional funding, we have not been able to continue supporting its activities. </w:t>
            </w:r>
          </w:p>
          <w:p w14:paraId="7C8A8159" w14:textId="77777777" w:rsidR="003C309B" w:rsidRPr="00C70A54" w:rsidRDefault="00B07A69" w:rsidP="006E402A">
            <w:pPr>
              <w:tabs>
                <w:tab w:val="left" w:pos="6554"/>
              </w:tabs>
              <w:spacing w:line="240" w:lineRule="exact"/>
            </w:pPr>
            <w:hyperlink r:id="rId18" w:history="1">
              <w:r w:rsidR="003C309B" w:rsidRPr="00C70A54">
                <w:rPr>
                  <w:rStyle w:val="Hyperlink"/>
                </w:rPr>
                <w:t>https://myapplications.my.salesforce.com/00Od0000004Jf5m</w:t>
              </w:r>
            </w:hyperlink>
          </w:p>
        </w:tc>
      </w:tr>
    </w:tbl>
    <w:p w14:paraId="4501508B" w14:textId="2FC3F5DF" w:rsidR="006E402A" w:rsidRDefault="006E402A" w:rsidP="006E402A">
      <w:bookmarkStart w:id="0" w:name="_GoBack"/>
      <w:bookmarkEnd w:id="0"/>
    </w:p>
    <w:sectPr w:rsidR="006E402A" w:rsidSect="00082874">
      <w:pgSz w:w="16840" w:h="11900" w:orient="landscape"/>
      <w:pgMar w:top="1440" w:right="1304" w:bottom="1247" w:left="130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A9178" w14:textId="77777777" w:rsidR="00EF02F0" w:rsidRDefault="00EF02F0" w:rsidP="00CA5AEE">
      <w:r>
        <w:separator/>
      </w:r>
    </w:p>
  </w:endnote>
  <w:endnote w:type="continuationSeparator" w:id="0">
    <w:p w14:paraId="3D5E8174" w14:textId="77777777" w:rsidR="00EF02F0" w:rsidRDefault="00EF02F0" w:rsidP="00CA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9501D6" w14:textId="77777777" w:rsidR="00EF02F0" w:rsidRDefault="00EF02F0" w:rsidP="00CA5AEE">
      <w:r>
        <w:separator/>
      </w:r>
    </w:p>
  </w:footnote>
  <w:footnote w:type="continuationSeparator" w:id="0">
    <w:p w14:paraId="60338C3B" w14:textId="77777777" w:rsidR="00EF02F0" w:rsidRDefault="00EF02F0" w:rsidP="00CA5A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135"/>
    <w:rsid w:val="000227D3"/>
    <w:rsid w:val="000231C4"/>
    <w:rsid w:val="00024DE3"/>
    <w:rsid w:val="00052393"/>
    <w:rsid w:val="000667D1"/>
    <w:rsid w:val="000708F9"/>
    <w:rsid w:val="00082874"/>
    <w:rsid w:val="00084B2A"/>
    <w:rsid w:val="00090DE0"/>
    <w:rsid w:val="000A6469"/>
    <w:rsid w:val="000F276D"/>
    <w:rsid w:val="000F2A59"/>
    <w:rsid w:val="001135F0"/>
    <w:rsid w:val="00130E0B"/>
    <w:rsid w:val="001411BF"/>
    <w:rsid w:val="00142913"/>
    <w:rsid w:val="00144A2E"/>
    <w:rsid w:val="00155825"/>
    <w:rsid w:val="0015663C"/>
    <w:rsid w:val="00172F31"/>
    <w:rsid w:val="0017359E"/>
    <w:rsid w:val="00182E45"/>
    <w:rsid w:val="00184BCE"/>
    <w:rsid w:val="001F4A13"/>
    <w:rsid w:val="0023097D"/>
    <w:rsid w:val="0024133B"/>
    <w:rsid w:val="00242B3F"/>
    <w:rsid w:val="00255B08"/>
    <w:rsid w:val="00281B9B"/>
    <w:rsid w:val="00283212"/>
    <w:rsid w:val="00287B59"/>
    <w:rsid w:val="002A2F2D"/>
    <w:rsid w:val="002D0A4B"/>
    <w:rsid w:val="002E6628"/>
    <w:rsid w:val="002F0DC5"/>
    <w:rsid w:val="002F2604"/>
    <w:rsid w:val="0032689B"/>
    <w:rsid w:val="00331ADB"/>
    <w:rsid w:val="003456D2"/>
    <w:rsid w:val="00351A06"/>
    <w:rsid w:val="00360495"/>
    <w:rsid w:val="003618B4"/>
    <w:rsid w:val="00363800"/>
    <w:rsid w:val="00363BAB"/>
    <w:rsid w:val="00367794"/>
    <w:rsid w:val="00371639"/>
    <w:rsid w:val="0037397E"/>
    <w:rsid w:val="003762EE"/>
    <w:rsid w:val="00383A60"/>
    <w:rsid w:val="003C309B"/>
    <w:rsid w:val="003D6CE5"/>
    <w:rsid w:val="004042BF"/>
    <w:rsid w:val="00416C7F"/>
    <w:rsid w:val="00453B6F"/>
    <w:rsid w:val="0049274C"/>
    <w:rsid w:val="00494F14"/>
    <w:rsid w:val="004A26DD"/>
    <w:rsid w:val="004B2777"/>
    <w:rsid w:val="004B4C0A"/>
    <w:rsid w:val="004B6082"/>
    <w:rsid w:val="004B6975"/>
    <w:rsid w:val="004C6EB0"/>
    <w:rsid w:val="004D092B"/>
    <w:rsid w:val="004E03E3"/>
    <w:rsid w:val="004E0C89"/>
    <w:rsid w:val="004E5532"/>
    <w:rsid w:val="004F6C84"/>
    <w:rsid w:val="00501BA8"/>
    <w:rsid w:val="005106B3"/>
    <w:rsid w:val="00517C92"/>
    <w:rsid w:val="00554099"/>
    <w:rsid w:val="0056156A"/>
    <w:rsid w:val="00561950"/>
    <w:rsid w:val="005762B1"/>
    <w:rsid w:val="00591D29"/>
    <w:rsid w:val="005A286B"/>
    <w:rsid w:val="005A55A8"/>
    <w:rsid w:val="005B6466"/>
    <w:rsid w:val="005C249F"/>
    <w:rsid w:val="005C3AC9"/>
    <w:rsid w:val="005F329C"/>
    <w:rsid w:val="006043CE"/>
    <w:rsid w:val="00606C40"/>
    <w:rsid w:val="00611DD4"/>
    <w:rsid w:val="006127EF"/>
    <w:rsid w:val="00633EFB"/>
    <w:rsid w:val="00635920"/>
    <w:rsid w:val="0064078F"/>
    <w:rsid w:val="00647691"/>
    <w:rsid w:val="0065474A"/>
    <w:rsid w:val="006660E1"/>
    <w:rsid w:val="00671DEF"/>
    <w:rsid w:val="006745E4"/>
    <w:rsid w:val="00676DE6"/>
    <w:rsid w:val="0069000A"/>
    <w:rsid w:val="006A2FE4"/>
    <w:rsid w:val="006B1FA7"/>
    <w:rsid w:val="006E402A"/>
    <w:rsid w:val="007041F2"/>
    <w:rsid w:val="0071606F"/>
    <w:rsid w:val="00733C0D"/>
    <w:rsid w:val="007375C5"/>
    <w:rsid w:val="00741BFD"/>
    <w:rsid w:val="00752DA8"/>
    <w:rsid w:val="007A21B2"/>
    <w:rsid w:val="007B4B0F"/>
    <w:rsid w:val="007C2B2D"/>
    <w:rsid w:val="007D21BA"/>
    <w:rsid w:val="00800B30"/>
    <w:rsid w:val="008155F0"/>
    <w:rsid w:val="008304AE"/>
    <w:rsid w:val="00855EAC"/>
    <w:rsid w:val="008B4D09"/>
    <w:rsid w:val="008E686F"/>
    <w:rsid w:val="008F33EA"/>
    <w:rsid w:val="0090221C"/>
    <w:rsid w:val="009034C3"/>
    <w:rsid w:val="009149BF"/>
    <w:rsid w:val="00916F05"/>
    <w:rsid w:val="00917985"/>
    <w:rsid w:val="00924169"/>
    <w:rsid w:val="00927C3B"/>
    <w:rsid w:val="00932669"/>
    <w:rsid w:val="00974BD3"/>
    <w:rsid w:val="009C693E"/>
    <w:rsid w:val="009D060E"/>
    <w:rsid w:val="009D0AD7"/>
    <w:rsid w:val="009E1B40"/>
    <w:rsid w:val="009E4DEC"/>
    <w:rsid w:val="009F39A4"/>
    <w:rsid w:val="00A05B93"/>
    <w:rsid w:val="00A15564"/>
    <w:rsid w:val="00A23E3E"/>
    <w:rsid w:val="00A30C7E"/>
    <w:rsid w:val="00A8355C"/>
    <w:rsid w:val="00A86391"/>
    <w:rsid w:val="00A87EF8"/>
    <w:rsid w:val="00AA0D91"/>
    <w:rsid w:val="00AB283D"/>
    <w:rsid w:val="00AD2E0F"/>
    <w:rsid w:val="00AE5605"/>
    <w:rsid w:val="00B07A69"/>
    <w:rsid w:val="00B1478E"/>
    <w:rsid w:val="00B231FB"/>
    <w:rsid w:val="00B26AAD"/>
    <w:rsid w:val="00B529A6"/>
    <w:rsid w:val="00B52ADE"/>
    <w:rsid w:val="00B57EA4"/>
    <w:rsid w:val="00B60853"/>
    <w:rsid w:val="00B96117"/>
    <w:rsid w:val="00BA3B5A"/>
    <w:rsid w:val="00BB17C9"/>
    <w:rsid w:val="00BB4BB2"/>
    <w:rsid w:val="00BC0AD4"/>
    <w:rsid w:val="00BC336B"/>
    <w:rsid w:val="00BF69E2"/>
    <w:rsid w:val="00C240C3"/>
    <w:rsid w:val="00C3051A"/>
    <w:rsid w:val="00C4478D"/>
    <w:rsid w:val="00C7225A"/>
    <w:rsid w:val="00C73358"/>
    <w:rsid w:val="00C77EA7"/>
    <w:rsid w:val="00C83243"/>
    <w:rsid w:val="00C87397"/>
    <w:rsid w:val="00C92A3B"/>
    <w:rsid w:val="00CA5AEE"/>
    <w:rsid w:val="00CB1011"/>
    <w:rsid w:val="00CB37AF"/>
    <w:rsid w:val="00CB714C"/>
    <w:rsid w:val="00CB76B9"/>
    <w:rsid w:val="00CD2BCA"/>
    <w:rsid w:val="00CD6256"/>
    <w:rsid w:val="00CE0EEC"/>
    <w:rsid w:val="00CE3917"/>
    <w:rsid w:val="00D47B4D"/>
    <w:rsid w:val="00D50736"/>
    <w:rsid w:val="00D57771"/>
    <w:rsid w:val="00D64135"/>
    <w:rsid w:val="00D67142"/>
    <w:rsid w:val="00D73D41"/>
    <w:rsid w:val="00DA5ABC"/>
    <w:rsid w:val="00DF5F7C"/>
    <w:rsid w:val="00E3210A"/>
    <w:rsid w:val="00E45180"/>
    <w:rsid w:val="00E81568"/>
    <w:rsid w:val="00E81F58"/>
    <w:rsid w:val="00E83012"/>
    <w:rsid w:val="00E841A5"/>
    <w:rsid w:val="00ED1E99"/>
    <w:rsid w:val="00ED3892"/>
    <w:rsid w:val="00EE0803"/>
    <w:rsid w:val="00EE2B35"/>
    <w:rsid w:val="00EF02F0"/>
    <w:rsid w:val="00EF5D48"/>
    <w:rsid w:val="00F0576E"/>
    <w:rsid w:val="00F32318"/>
    <w:rsid w:val="00F44D86"/>
    <w:rsid w:val="00F5651F"/>
    <w:rsid w:val="00F608C4"/>
    <w:rsid w:val="00F800F2"/>
    <w:rsid w:val="00FB4E38"/>
    <w:rsid w:val="00FB69F6"/>
    <w:rsid w:val="00FC6E51"/>
    <w:rsid w:val="00FE68C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EAE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A5AEE"/>
  </w:style>
  <w:style w:type="character" w:customStyle="1" w:styleId="FootnoteTextChar">
    <w:name w:val="Footnote Text Char"/>
    <w:basedOn w:val="DefaultParagraphFont"/>
    <w:link w:val="FootnoteText"/>
    <w:uiPriority w:val="99"/>
    <w:rsid w:val="00CA5AEE"/>
  </w:style>
  <w:style w:type="character" w:styleId="FootnoteReference">
    <w:name w:val="footnote reference"/>
    <w:basedOn w:val="DefaultParagraphFont"/>
    <w:uiPriority w:val="99"/>
    <w:unhideWhenUsed/>
    <w:rsid w:val="00CA5AEE"/>
    <w:rPr>
      <w:vertAlign w:val="superscript"/>
    </w:rPr>
  </w:style>
  <w:style w:type="character" w:styleId="Hyperlink">
    <w:name w:val="Hyperlink"/>
    <w:uiPriority w:val="99"/>
    <w:unhideWhenUsed/>
    <w:rsid w:val="006E402A"/>
    <w:rPr>
      <w:color w:val="0000FF"/>
      <w:u w:val="single"/>
    </w:rPr>
  </w:style>
  <w:style w:type="table" w:styleId="TableGrid">
    <w:name w:val="Table Grid"/>
    <w:basedOn w:val="TableNormal"/>
    <w:uiPriority w:val="59"/>
    <w:rsid w:val="006E402A"/>
    <w:rPr>
      <w:rFonts w:ascii="Calibri" w:eastAsia="Calibri" w:hAnsi="Calibri"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097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A5AEE"/>
  </w:style>
  <w:style w:type="character" w:customStyle="1" w:styleId="FootnoteTextChar">
    <w:name w:val="Footnote Text Char"/>
    <w:basedOn w:val="DefaultParagraphFont"/>
    <w:link w:val="FootnoteText"/>
    <w:uiPriority w:val="99"/>
    <w:rsid w:val="00CA5AEE"/>
  </w:style>
  <w:style w:type="character" w:styleId="FootnoteReference">
    <w:name w:val="footnote reference"/>
    <w:basedOn w:val="DefaultParagraphFont"/>
    <w:uiPriority w:val="99"/>
    <w:unhideWhenUsed/>
    <w:rsid w:val="00CA5AEE"/>
    <w:rPr>
      <w:vertAlign w:val="superscript"/>
    </w:rPr>
  </w:style>
  <w:style w:type="character" w:styleId="Hyperlink">
    <w:name w:val="Hyperlink"/>
    <w:uiPriority w:val="99"/>
    <w:unhideWhenUsed/>
    <w:rsid w:val="006E402A"/>
    <w:rPr>
      <w:color w:val="0000FF"/>
      <w:u w:val="single"/>
    </w:rPr>
  </w:style>
  <w:style w:type="table" w:styleId="TableGrid">
    <w:name w:val="Table Grid"/>
    <w:basedOn w:val="TableNormal"/>
    <w:uiPriority w:val="59"/>
    <w:rsid w:val="006E402A"/>
    <w:rPr>
      <w:rFonts w:ascii="Calibri" w:eastAsia="Calibri" w:hAnsi="Calibri"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09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192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applications.my.salesforce.com/00Od0000004Jf2T" TargetMode="External"/><Relationship Id="rId13" Type="http://schemas.openxmlformats.org/officeDocument/2006/relationships/hyperlink" Target="https://myapplications.my.salesforce.com/00Od0000004Jf66" TargetMode="External"/><Relationship Id="rId18" Type="http://schemas.openxmlformats.org/officeDocument/2006/relationships/hyperlink" Target="https://myapplications.my.salesforce.com/00Od0000004Jf5m" TargetMode="External"/><Relationship Id="rId3" Type="http://schemas.openxmlformats.org/officeDocument/2006/relationships/settings" Target="settings.xml"/><Relationship Id="rId7" Type="http://schemas.openxmlformats.org/officeDocument/2006/relationships/hyperlink" Target="https://myapplications.my.salesforce.com/00Od0000004Jd93" TargetMode="External"/><Relationship Id="rId12" Type="http://schemas.openxmlformats.org/officeDocument/2006/relationships/hyperlink" Target="https://myapplications.my.salesforce.com/00Od0000004Jf5h" TargetMode="External"/><Relationship Id="rId17" Type="http://schemas.openxmlformats.org/officeDocument/2006/relationships/hyperlink" Target="https://myapplications.my.salesforce.com/00Od0000004Jf6L" TargetMode="External"/><Relationship Id="rId2" Type="http://schemas.microsoft.com/office/2007/relationships/stylesWithEffects" Target="stylesWithEffects.xml"/><Relationship Id="rId16" Type="http://schemas.openxmlformats.org/officeDocument/2006/relationships/hyperlink" Target="https://myapplications.my.salesforce.com/00Od0000004Jf5r"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myapplications.my.salesforce.com/00Od0000004Jf5D" TargetMode="External"/><Relationship Id="rId5" Type="http://schemas.openxmlformats.org/officeDocument/2006/relationships/footnotes" Target="footnotes.xml"/><Relationship Id="rId15" Type="http://schemas.openxmlformats.org/officeDocument/2006/relationships/hyperlink" Target="https://myapplications.my.salesforce.com/00Od0000004Jf6Q" TargetMode="External"/><Relationship Id="rId10" Type="http://schemas.openxmlformats.org/officeDocument/2006/relationships/hyperlink" Target="https://myapplications.my.salesforce.com/00Od0000004Jf2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yapplications.my.salesforce.com/00Od0000004Jf2n" TargetMode="External"/><Relationship Id="rId14" Type="http://schemas.openxmlformats.org/officeDocument/2006/relationships/hyperlink" Target="https://myapplications.my.salesforce.com/00Od0000004Jf2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1052</Words>
  <Characters>6000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Voldemar Tomusk</dc:creator>
  <cp:lastModifiedBy>Daphne Panayotatos</cp:lastModifiedBy>
  <cp:revision>3</cp:revision>
  <dcterms:created xsi:type="dcterms:W3CDTF">2015-06-09T13:49:00Z</dcterms:created>
  <dcterms:modified xsi:type="dcterms:W3CDTF">2015-06-09T13:52:00Z</dcterms:modified>
</cp:coreProperties>
</file>